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2"/>
        <w:gridCol w:w="460"/>
        <w:gridCol w:w="1436"/>
        <w:gridCol w:w="1177"/>
        <w:gridCol w:w="4733"/>
      </w:tblGrid>
      <w:tr w:rsidR="00342CF7" w:rsidRPr="003F2ACA" w:rsidTr="00FE1431">
        <w:trPr>
          <w:trHeight w:val="20"/>
          <w:jc w:val="center"/>
        </w:trPr>
        <w:tc>
          <w:tcPr>
            <w:tcW w:w="56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742" w:rsidRPr="003F2ACA" w:rsidRDefault="005F6742" w:rsidP="003F2AC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  <w:t>學年度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742" w:rsidRPr="003F2ACA" w:rsidRDefault="005F6742" w:rsidP="003F2AC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  <w:t>#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742" w:rsidRPr="003F2ACA" w:rsidRDefault="005F6742" w:rsidP="003F2AC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  <w:t>研究生姓名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742" w:rsidRPr="003F2ACA" w:rsidRDefault="005F6742" w:rsidP="003F2AC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  <w:t>指導教授</w:t>
            </w:r>
          </w:p>
        </w:tc>
        <w:tc>
          <w:tcPr>
            <w:tcW w:w="268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742" w:rsidRPr="003F2ACA" w:rsidRDefault="005F6742" w:rsidP="00342CF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  <w:t>論文題目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112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7A5919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葉素真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7A5919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翁佳樑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7A5919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影響預售屋客戶變更設計執行效率因素之研究</w:t>
            </w:r>
          </w:p>
        </w:tc>
      </w:tr>
      <w:tr w:rsidR="0053409D" w:rsidRPr="003F2ACA" w:rsidTr="00A66895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7A5919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顏博正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7A5919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郭明恩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7A5919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契約替代項目在公共工程應用之探討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111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劉明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物價指數調整</w:t>
            </w:r>
            <w:proofErr w:type="gramStart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門檻值對承攬</w:t>
            </w:r>
            <w:proofErr w:type="gramEnd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廠商之影響</w:t>
            </w:r>
            <w:proofErr w:type="gramStart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—</w:t>
            </w:r>
            <w:proofErr w:type="gramEnd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以某橋梁改建工程為例</w:t>
            </w:r>
          </w:p>
        </w:tc>
      </w:tr>
      <w:tr w:rsidR="0053409D" w:rsidRPr="003F2ACA" w:rsidTr="00246969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王譽善</w:t>
            </w:r>
            <w:proofErr w:type="gramEnd"/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以系統思考探討工期延遲之根本原因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 xml:space="preserve">- 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案例研究</w:t>
            </w:r>
          </w:p>
        </w:tc>
      </w:tr>
      <w:tr w:rsidR="0053409D" w:rsidRPr="003F2ACA" w:rsidTr="00246969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徐詩涵</w:t>
            </w:r>
            <w:proofErr w:type="gramEnd"/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無人機應用於箱型橋梁內部探測之可行性研究</w:t>
            </w:r>
          </w:p>
        </w:tc>
      </w:tr>
      <w:tr w:rsidR="0053409D" w:rsidRPr="003F2ACA" w:rsidTr="00246969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周</w:t>
            </w:r>
            <w:proofErr w:type="gramStart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酉</w:t>
            </w:r>
            <w:proofErr w:type="gramEnd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全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統包工程專案管理之實證案例研究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 xml:space="preserve"> -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以立體停車場工程為例</w:t>
            </w:r>
          </w:p>
        </w:tc>
      </w:tr>
      <w:tr w:rsidR="0053409D" w:rsidRPr="003F2ACA" w:rsidTr="00246969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鄭美華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BIM</w:t>
            </w:r>
            <w:proofErr w:type="gramStart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線上學習</w:t>
            </w:r>
            <w:proofErr w:type="gramEnd"/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平台架構探討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以建築類學習為例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110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鍾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懷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樞</w:t>
            </w:r>
            <w:proofErr w:type="gramEnd"/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AA71BE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鋼結構塗裝生產力之研究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高雄某塗裝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工廠為案例</w:t>
            </w:r>
          </w:p>
        </w:tc>
      </w:tr>
      <w:tr w:rsidR="0053409D" w:rsidRPr="003F2ACA" w:rsidTr="00847ADE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陸盈易</w:t>
            </w:r>
            <w:proofErr w:type="gramEnd"/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AA71BE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以系統思考概念探討帷幕牆工程品質不良的原因</w:t>
            </w:r>
          </w:p>
        </w:tc>
      </w:tr>
      <w:tr w:rsidR="0053409D" w:rsidRPr="003F2ACA" w:rsidTr="00EE511D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朱信旭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以系統思考探討台灣營造業拆除作業工安事件原因之研究</w:t>
            </w:r>
          </w:p>
        </w:tc>
      </w:tr>
      <w:tr w:rsidR="0053409D" w:rsidRPr="003F2ACA" w:rsidTr="00EE511D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潘冠元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林志森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土體內短管推進之力學行為探討</w:t>
            </w:r>
          </w:p>
        </w:tc>
      </w:tr>
      <w:tr w:rsidR="0053409D" w:rsidRPr="003F2ACA" w:rsidTr="00EE511D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王秀華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林志森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彰化地區地層下陷趨勢之探討</w:t>
            </w:r>
          </w:p>
        </w:tc>
      </w:tr>
      <w:tr w:rsidR="0053409D" w:rsidRPr="003F2ACA" w:rsidTr="00EE511D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鍾增煌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077F5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77F5">
              <w:rPr>
                <w:rFonts w:ascii="Times New Roman" w:eastAsia="標楷體" w:hAnsi="Times New Roman" w:cs="Times New Roman" w:hint="eastAsia"/>
                <w:szCs w:val="24"/>
              </w:rPr>
              <w:t>利用雲端技術進行營建行動裝置實驗及大數據統計之研究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109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1431">
              <w:rPr>
                <w:rFonts w:ascii="Times New Roman" w:eastAsia="標楷體" w:hAnsi="Times New Roman" w:cs="Times New Roman" w:hint="eastAsia"/>
                <w:szCs w:val="24"/>
              </w:rPr>
              <w:t>黃志中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90196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90196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鋼結構吊裝生產力之研究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以高雄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棟住宅大樓為案例</w:t>
            </w:r>
          </w:p>
        </w:tc>
      </w:tr>
      <w:tr w:rsidR="0053409D" w:rsidRPr="003F2ACA" w:rsidTr="007B121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1431">
              <w:rPr>
                <w:rFonts w:ascii="Times New Roman" w:eastAsia="標楷體" w:hAnsi="Times New Roman" w:cs="Times New Roman" w:hint="eastAsia"/>
                <w:szCs w:val="24"/>
              </w:rPr>
              <w:t>楊明正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90196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990196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科技大學營建工程系課程與實務接軌程度之研究</w:t>
            </w:r>
          </w:p>
        </w:tc>
      </w:tr>
      <w:tr w:rsidR="0053409D" w:rsidRPr="003F2ACA" w:rsidTr="007B121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FE14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吳明家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李振榮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以失誤樹分析軍事機關對不良廠商停權之案例研究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FE14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程建騰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李振榮</w:t>
            </w:r>
          </w:p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盧之偉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土壤液化風險之研究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-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以雲林縣虎尾鎮為例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FE14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李</w:t>
            </w:r>
            <w:proofErr w:type="gramStart"/>
            <w:r w:rsidRPr="00FE14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昇翟</w:t>
            </w:r>
            <w:proofErr w:type="gramEnd"/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林志森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應用監測資料探討雲林地區地層下陷之趨勢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FE1431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FE14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劉政華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林志森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深地下在隧道正交交叉段之力學特性探討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郭宸華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廖婉茹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以永續循環觀點探討實現無害建材循環化之研究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E45175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顏瑞明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翁佳樑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綠建築對業主的成本負擔與消費者認同程度之探討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(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以節能複式牆為例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)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E45175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林鼎彥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翁佳樑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彈性可變格局運用在住宅租賃市場之可行性研究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-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以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TS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公司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SL</w:t>
            </w:r>
            <w:r w:rsidRPr="00E4517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循環住宅為例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108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蘇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洺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賢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李振榮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生產力績效之研究以水利工程模板施工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工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項為例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8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李昱霖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翁佳樑</w:t>
            </w:r>
          </w:p>
        </w:tc>
        <w:tc>
          <w:tcPr>
            <w:tcW w:w="268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集合住宅外牆修繕經費來源之研究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8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周進明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晁立中</w:t>
            </w:r>
          </w:p>
        </w:tc>
        <w:tc>
          <w:tcPr>
            <w:tcW w:w="268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工程監造執行的改進探討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815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劉書媚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鋼構吊裝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生產力之研究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-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以鋼拱橋為例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7A16F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劉家維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7A16F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409D" w:rsidRPr="007A16F3" w:rsidRDefault="0053409D" w:rsidP="0053409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7A16F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帷幕牆工程吊裝生產力與影響因子之研究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王文宗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泥作工程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生產力之量測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 xml:space="preserve"> - 288 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間衛浴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的案例研究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謝坤助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林志森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深地層處置隧道支撐系統材料創新與研究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蘇峯哲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林志森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用過核子燃料永久處置孔阻隔系統相關性質研究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郭旭典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林志森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土壤污染總石油碳氫化合物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TPH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整治工法之研究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個場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址為例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邱建銘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李振榮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高雄市建築執照缺失探討之研究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余</w:t>
            </w:r>
            <w:proofErr w:type="gramEnd"/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楊</w:t>
            </w:r>
            <w:proofErr w:type="gramStart"/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巽</w:t>
            </w:r>
            <w:proofErr w:type="gramEnd"/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李振榮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利用失誤樹研究最高行政法院工程採購拒絕往來廠商之判決態樣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7A16F3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16F3">
              <w:rPr>
                <w:rFonts w:ascii="Times New Roman" w:eastAsia="標楷體" w:hAnsi="Times New Roman" w:cs="Times New Roman" w:hint="eastAsia"/>
                <w:szCs w:val="24"/>
              </w:rPr>
              <w:t>朱崇德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E125DF" w:rsidRDefault="0053409D" w:rsidP="005340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瀝青混凝土產品階段碳排放之研究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107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洪永宏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晁立中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國內營建工程監造的現況檢討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8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王皓榆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科技大學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BIM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課程與實務落差之案例研究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815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王志平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統包工程專案介面問題之研究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 xml:space="preserve">- 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以石化工廠興建工程為例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謝志銘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晁立中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營造業勞工的風險認知、保險涉入與保險價值對保險購買意願之研究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鍾景松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某國立大學實驗室績效評估之研究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江義民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某鐵路車站月台新增雨遮工程生產力之研究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朱家煌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模板工程生產力之研究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-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以高雄集合住宅為例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郭曉純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鋼結構吊裝生產力研究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 xml:space="preserve"> - 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2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棟大樓為案例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趙峰麟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晁立中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房屋型態與建材設備配置對購屋意願之影響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 xml:space="preserve"> -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以高雄地區為例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鄭淵銘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李振榮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公共工程施工查核常見缺失探討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-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以台糖公司為例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106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楊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旻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穎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盧之偉</w:t>
            </w:r>
          </w:p>
        </w:tc>
        <w:tc>
          <w:tcPr>
            <w:tcW w:w="26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河道清淤影響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範圍快評法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技術開發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陳慶益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林彥宇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350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應用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漢堡輪跡試驗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設備於實驗室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與廠拌瀝青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混凝土成效關聯性之研究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景國憲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李振榮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350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公共工程契約爭議工項之研究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陳瑞鴻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050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割草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作業工班生產力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之研究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-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以某林務公園管理所為例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余世琦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350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低樓層鋼結構吊裝生產力之案例研究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黃智勇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翁佳樑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350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整體浴室與傳統浴室於新建及整建階段溫室氣體排放量比較之研究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楊舒惠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翁佳樑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937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以開放式建築理論及貨櫃系統發展青年社會住宅之研究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李明亮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林建良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5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營建材料實驗室的關鍵成功因素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—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學習型組織的案例研究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張碩修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晁立中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350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專案管理實施做法之探討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 xml:space="preserve">- 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以佛陀紀念館工程為例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黃韻如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晁立中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303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建築工程施工圖繪製作業效能之研究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11</w:t>
            </w:r>
          </w:p>
        </w:tc>
        <w:tc>
          <w:tcPr>
            <w:tcW w:w="81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陳建良</w:t>
            </w:r>
          </w:p>
        </w:tc>
        <w:tc>
          <w:tcPr>
            <w:tcW w:w="66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李振榮</w:t>
            </w:r>
          </w:p>
        </w:tc>
        <w:tc>
          <w:tcPr>
            <w:tcW w:w="268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303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可拆組隔間系統應用於集合式住宅之研究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蔡長益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翁佳樑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tabs>
                <w:tab w:val="left" w:pos="1303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外牆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磁磚飾面工程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成本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與抗拉接著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強度之研究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105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林郁偉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晁立中</w:t>
            </w:r>
          </w:p>
        </w:tc>
        <w:tc>
          <w:tcPr>
            <w:tcW w:w="26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施工架搭設執行績效之案例研究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程献魁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晁立中</w:t>
            </w:r>
          </w:p>
        </w:tc>
        <w:tc>
          <w:tcPr>
            <w:tcW w:w="26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大學校園節能措施案例之探討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蘇珍玉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施工影響交通之案例研究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鄭莉虹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設計與施工介面問題之研究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以高科技廠房為案例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王皓安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軍事工程單位的組織學習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- 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王榮質</w:t>
            </w:r>
            <w:proofErr w:type="gramEnd"/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范嘉程</w:t>
            </w:r>
          </w:p>
        </w:tc>
        <w:tc>
          <w:tcPr>
            <w:tcW w:w="268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高雄市深開挖沈陷分析預測方式之檢討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104</w:t>
            </w:r>
          </w:p>
        </w:tc>
        <w:tc>
          <w:tcPr>
            <w:tcW w:w="261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呂韋呈</w:t>
            </w:r>
          </w:p>
        </w:tc>
        <w:tc>
          <w:tcPr>
            <w:tcW w:w="668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林建良</w:t>
            </w:r>
          </w:p>
        </w:tc>
        <w:tc>
          <w:tcPr>
            <w:tcW w:w="268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輕鋼架天花板生產力案例之研究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洪素雲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晁立中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公共工程異質採購最低標之優點缺點及改善建議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林栩東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曾國鴻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加勁格網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擋土牆應用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於高填土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邊坡穩定探討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洪秀鳳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林建良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以組織學習概念探討營造業職業災害原因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黃怡萍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晁立中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專案管理師課程及證照符合營建業需求之研究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何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宥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鵬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林建良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全套管基樁生產力與影響因子之研究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徐瑞銘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連帶保證廠商接續工程風險因子剖析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以某公辦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土地重劃工程為例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潘志慶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在相同氣候條件下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各種木構外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牆與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RC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牆之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室內溫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濕環境實測解析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黃聖評</w:t>
            </w:r>
            <w:proofErr w:type="gramEnd"/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公共工程監造人員執行監造品質之責任探討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103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陳銘良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翁佳樑</w:t>
            </w:r>
          </w:p>
        </w:tc>
        <w:tc>
          <w:tcPr>
            <w:tcW w:w="26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可變隔間系統應用於複合式功能遊客中心之研究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王怡文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專業技師懲戒案例初步探討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林鳳宜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公共工程綁標犯罪初步探討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方怡婷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曾國鴻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應用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PLAXIS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分析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連續壁深開挖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變形之探討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高雄小港工程案例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趙珮玉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林建良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以系統思考探討台灣營造業職業安全衛生教育訓練之研究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顏明順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行動裝置應用輔助營建工地管理之探討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高紹慈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捷運系統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採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統包模式對於契約執行之探討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以高雄環狀輕軌捷運建設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第一階段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梁惠萍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林建良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空間桁架生產力影響因子之案例研究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張晉銓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晁立中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台灣房地產開發商前往大陸投資風險評估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吳豐文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曾國鴻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連續壁含有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地中壁之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變形分析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吳宗龍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重新發包工程之施工介面處理之研究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陳信安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曾國鴻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土壤改良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扶壁樁對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深開挖連續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壁變位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之探討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王君偉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李振榮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重大災後重建工程中進度影響因子之探討</w:t>
            </w:r>
            <w:proofErr w:type="gramStart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─</w:t>
            </w:r>
            <w:proofErr w:type="gramEnd"/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以高雄市石化氣爆重建工程為例</w:t>
            </w:r>
          </w:p>
        </w:tc>
      </w:tr>
      <w:tr w:rsidR="0053409D" w:rsidRPr="003F2ACA" w:rsidTr="00FE1431">
        <w:trPr>
          <w:trHeight w:val="20"/>
          <w:jc w:val="center"/>
        </w:trPr>
        <w:tc>
          <w:tcPr>
            <w:tcW w:w="569" w:type="pct"/>
            <w:vMerge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顏俊明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林志森</w:t>
            </w:r>
          </w:p>
        </w:tc>
        <w:tc>
          <w:tcPr>
            <w:tcW w:w="2687" w:type="pct"/>
            <w:shd w:val="clear" w:color="auto" w:fill="FFFFFF" w:themeFill="background1"/>
            <w:vAlign w:val="center"/>
          </w:tcPr>
          <w:p w:rsidR="0053409D" w:rsidRPr="003F2ACA" w:rsidRDefault="0053409D" w:rsidP="0053409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F2A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應用有限差分法模擬岩體品質對隧道開挖穩定性之影響</w:t>
            </w:r>
          </w:p>
        </w:tc>
      </w:tr>
    </w:tbl>
    <w:p w:rsidR="003F2EDA" w:rsidRPr="003F2EDA" w:rsidRDefault="003F2EDA" w:rsidP="003F2EDA">
      <w:pPr>
        <w:jc w:val="right"/>
        <w:rPr>
          <w:rFonts w:ascii="標楷體" w:eastAsia="標楷體" w:hAnsi="標楷體"/>
          <w:szCs w:val="24"/>
        </w:rPr>
      </w:pPr>
      <w:r>
        <w:rPr>
          <w:rFonts w:ascii="微軟正黑體" w:eastAsia="微軟正黑體" w:hAnsi="微軟正黑體" w:hint="eastAsia"/>
          <w:color w:val="353535"/>
          <w:shd w:val="clear" w:color="auto" w:fill="FFFFFF"/>
        </w:rPr>
        <w:t>更新日期：11</w:t>
      </w:r>
      <w:r w:rsidR="0053409D">
        <w:rPr>
          <w:rFonts w:ascii="微軟正黑體" w:eastAsia="微軟正黑體" w:hAnsi="微軟正黑體" w:hint="eastAsia"/>
          <w:color w:val="353535"/>
          <w:shd w:val="clear" w:color="auto" w:fill="FFFFFF"/>
        </w:rPr>
        <w:t>3</w:t>
      </w:r>
      <w:r>
        <w:rPr>
          <w:rFonts w:ascii="微軟正黑體" w:eastAsia="微軟正黑體" w:hAnsi="微軟正黑體" w:hint="eastAsia"/>
          <w:color w:val="353535"/>
          <w:shd w:val="clear" w:color="auto" w:fill="FFFFFF"/>
        </w:rPr>
        <w:t>/</w:t>
      </w:r>
      <w:r w:rsidR="0053409D">
        <w:rPr>
          <w:rFonts w:ascii="微軟正黑體" w:eastAsia="微軟正黑體" w:hAnsi="微軟正黑體" w:hint="eastAsia"/>
          <w:color w:val="353535"/>
          <w:shd w:val="clear" w:color="auto" w:fill="FFFFFF"/>
        </w:rPr>
        <w:t>3</w:t>
      </w:r>
      <w:r>
        <w:rPr>
          <w:rFonts w:ascii="微軟正黑體" w:eastAsia="微軟正黑體" w:hAnsi="微軟正黑體" w:hint="eastAsia"/>
          <w:color w:val="353535"/>
          <w:shd w:val="clear" w:color="auto" w:fill="FFFFFF"/>
        </w:rPr>
        <w:t>/</w:t>
      </w:r>
      <w:r w:rsidR="0053409D">
        <w:rPr>
          <w:rFonts w:ascii="微軟正黑體" w:eastAsia="微軟正黑體" w:hAnsi="微軟正黑體" w:hint="eastAsia"/>
          <w:color w:val="353535"/>
          <w:shd w:val="clear" w:color="auto" w:fill="FFFFFF"/>
        </w:rPr>
        <w:t>12</w:t>
      </w:r>
      <w:bookmarkStart w:id="0" w:name="_GoBack"/>
      <w:bookmarkEnd w:id="0"/>
    </w:p>
    <w:sectPr w:rsidR="003F2EDA" w:rsidRPr="003F2EDA" w:rsidSect="003F2EDA">
      <w:headerReference w:type="default" r:id="rId6"/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24" w:rsidRDefault="00454B24" w:rsidP="00B524BD">
      <w:r>
        <w:separator/>
      </w:r>
    </w:p>
  </w:endnote>
  <w:endnote w:type="continuationSeparator" w:id="0">
    <w:p w:rsidR="00454B24" w:rsidRDefault="00454B24" w:rsidP="00B5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24" w:rsidRDefault="00454B24" w:rsidP="00B524BD">
      <w:r>
        <w:separator/>
      </w:r>
    </w:p>
  </w:footnote>
  <w:footnote w:type="continuationSeparator" w:id="0">
    <w:p w:rsidR="00454B24" w:rsidRDefault="00454B24" w:rsidP="00B5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CA" w:rsidRPr="003F2ACA" w:rsidRDefault="003F2ACA" w:rsidP="003F2ACA">
    <w:pPr>
      <w:pStyle w:val="a4"/>
      <w:jc w:val="center"/>
      <w:rPr>
        <w:rFonts w:ascii="Times New Roman" w:eastAsia="標楷體" w:hAnsi="Times New Roman" w:cs="Times New Roman"/>
        <w:b/>
        <w:sz w:val="28"/>
        <w:szCs w:val="28"/>
      </w:rPr>
    </w:pPr>
    <w:bookmarkStart w:id="1" w:name="_Toc490566450"/>
    <w:r w:rsidRPr="003F2ACA">
      <w:rPr>
        <w:rFonts w:ascii="Times New Roman" w:eastAsia="標楷體" w:hAnsi="Times New Roman" w:cs="Times New Roman"/>
        <w:b/>
        <w:sz w:val="28"/>
        <w:szCs w:val="28"/>
        <w:shd w:val="clear" w:color="auto" w:fill="FFFFFF" w:themeFill="background1"/>
      </w:rPr>
      <w:t>103</w:t>
    </w:r>
    <w:r w:rsidRPr="003F2ACA">
      <w:rPr>
        <w:rFonts w:ascii="Times New Roman" w:eastAsia="標楷體" w:hAnsi="Times New Roman" w:cs="Times New Roman" w:hint="eastAsia"/>
        <w:b/>
        <w:sz w:val="28"/>
        <w:szCs w:val="28"/>
        <w:shd w:val="clear" w:color="auto" w:fill="FFFFFF" w:themeFill="background1"/>
      </w:rPr>
      <w:t>-</w:t>
    </w:r>
    <w:r w:rsidRPr="003F2ACA">
      <w:rPr>
        <w:rFonts w:ascii="Times New Roman" w:eastAsia="標楷體" w:hAnsi="Times New Roman" w:cs="Times New Roman"/>
        <w:b/>
        <w:sz w:val="28"/>
        <w:szCs w:val="28"/>
        <w:shd w:val="clear" w:color="auto" w:fill="FFFFFF" w:themeFill="background1"/>
      </w:rPr>
      <w:t>1</w:t>
    </w:r>
    <w:r w:rsidR="00030236">
      <w:rPr>
        <w:rFonts w:ascii="Times New Roman" w:eastAsia="標楷體" w:hAnsi="Times New Roman" w:cs="Times New Roman" w:hint="eastAsia"/>
        <w:b/>
        <w:sz w:val="28"/>
        <w:szCs w:val="28"/>
        <w:shd w:val="clear" w:color="auto" w:fill="FFFFFF" w:themeFill="background1"/>
      </w:rPr>
      <w:t>1</w:t>
    </w:r>
    <w:r w:rsidR="0053409D">
      <w:rPr>
        <w:rFonts w:ascii="Times New Roman" w:eastAsia="標楷體" w:hAnsi="Times New Roman" w:cs="Times New Roman" w:hint="eastAsia"/>
        <w:b/>
        <w:sz w:val="28"/>
        <w:szCs w:val="28"/>
        <w:shd w:val="clear" w:color="auto" w:fill="FFFFFF" w:themeFill="background1"/>
      </w:rPr>
      <w:t>2</w:t>
    </w:r>
    <w:r w:rsidRPr="003F2ACA">
      <w:rPr>
        <w:rFonts w:ascii="Times New Roman" w:eastAsia="標楷體" w:hAnsi="Times New Roman" w:cs="Times New Roman"/>
        <w:b/>
        <w:sz w:val="28"/>
        <w:szCs w:val="28"/>
        <w:shd w:val="clear" w:color="auto" w:fill="FFFFFF" w:themeFill="background1"/>
      </w:rPr>
      <w:t>學年度碩士在職專班畢業生論文清單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DA" w:rsidRPr="003F2ACA" w:rsidRDefault="003F2EDA" w:rsidP="003F2EDA">
    <w:pPr>
      <w:pStyle w:val="a4"/>
      <w:jc w:val="center"/>
      <w:rPr>
        <w:rFonts w:ascii="Times New Roman" w:eastAsia="標楷體" w:hAnsi="Times New Roman" w:cs="Times New Roman"/>
        <w:b/>
        <w:sz w:val="28"/>
        <w:szCs w:val="28"/>
      </w:rPr>
    </w:pPr>
    <w:r w:rsidRPr="003F2ACA">
      <w:rPr>
        <w:rFonts w:ascii="Times New Roman" w:eastAsia="標楷體" w:hAnsi="Times New Roman" w:cs="Times New Roman"/>
        <w:b/>
        <w:sz w:val="28"/>
        <w:szCs w:val="28"/>
        <w:shd w:val="clear" w:color="auto" w:fill="FFFFFF" w:themeFill="background1"/>
      </w:rPr>
      <w:t>103</w:t>
    </w:r>
    <w:r w:rsidRPr="003F2ACA">
      <w:rPr>
        <w:rFonts w:ascii="Times New Roman" w:eastAsia="標楷體" w:hAnsi="Times New Roman" w:cs="Times New Roman" w:hint="eastAsia"/>
        <w:b/>
        <w:sz w:val="28"/>
        <w:szCs w:val="28"/>
        <w:shd w:val="clear" w:color="auto" w:fill="FFFFFF" w:themeFill="background1"/>
      </w:rPr>
      <w:t>-</w:t>
    </w:r>
    <w:r w:rsidRPr="003F2ACA">
      <w:rPr>
        <w:rFonts w:ascii="Times New Roman" w:eastAsia="標楷體" w:hAnsi="Times New Roman" w:cs="Times New Roman"/>
        <w:b/>
        <w:sz w:val="28"/>
        <w:szCs w:val="28"/>
        <w:shd w:val="clear" w:color="auto" w:fill="FFFFFF" w:themeFill="background1"/>
      </w:rPr>
      <w:t>1</w:t>
    </w:r>
    <w:r>
      <w:rPr>
        <w:rFonts w:ascii="Times New Roman" w:eastAsia="標楷體" w:hAnsi="Times New Roman" w:cs="Times New Roman" w:hint="eastAsia"/>
        <w:b/>
        <w:sz w:val="28"/>
        <w:szCs w:val="28"/>
        <w:shd w:val="clear" w:color="auto" w:fill="FFFFFF" w:themeFill="background1"/>
      </w:rPr>
      <w:t>11</w:t>
    </w:r>
    <w:r w:rsidRPr="003F2ACA">
      <w:rPr>
        <w:rFonts w:ascii="Times New Roman" w:eastAsia="標楷體" w:hAnsi="Times New Roman" w:cs="Times New Roman"/>
        <w:b/>
        <w:sz w:val="28"/>
        <w:szCs w:val="28"/>
        <w:shd w:val="clear" w:color="auto" w:fill="FFFFFF" w:themeFill="background1"/>
      </w:rPr>
      <w:t>學年度碩士在職專班畢業生論文清單</w:t>
    </w:r>
  </w:p>
  <w:p w:rsidR="003F2EDA" w:rsidRPr="003F2EDA" w:rsidRDefault="003F2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C7"/>
    <w:rsid w:val="00030236"/>
    <w:rsid w:val="00047151"/>
    <w:rsid w:val="00082E60"/>
    <w:rsid w:val="001806C9"/>
    <w:rsid w:val="00193927"/>
    <w:rsid w:val="00193A81"/>
    <w:rsid w:val="00204E2F"/>
    <w:rsid w:val="00224805"/>
    <w:rsid w:val="00294181"/>
    <w:rsid w:val="00324D39"/>
    <w:rsid w:val="00342CF7"/>
    <w:rsid w:val="00387520"/>
    <w:rsid w:val="003F2ACA"/>
    <w:rsid w:val="003F2EDA"/>
    <w:rsid w:val="00426848"/>
    <w:rsid w:val="00454B24"/>
    <w:rsid w:val="004655ED"/>
    <w:rsid w:val="004C7B2E"/>
    <w:rsid w:val="0053409D"/>
    <w:rsid w:val="005A4F88"/>
    <w:rsid w:val="005A6C12"/>
    <w:rsid w:val="005C7225"/>
    <w:rsid w:val="005F6742"/>
    <w:rsid w:val="00704D89"/>
    <w:rsid w:val="00790A72"/>
    <w:rsid w:val="007A16F3"/>
    <w:rsid w:val="00897ACF"/>
    <w:rsid w:val="00906014"/>
    <w:rsid w:val="009077F5"/>
    <w:rsid w:val="00961F6B"/>
    <w:rsid w:val="009A2067"/>
    <w:rsid w:val="00A163A2"/>
    <w:rsid w:val="00A24A45"/>
    <w:rsid w:val="00A34895"/>
    <w:rsid w:val="00A778C7"/>
    <w:rsid w:val="00AE4675"/>
    <w:rsid w:val="00B440D9"/>
    <w:rsid w:val="00B524BD"/>
    <w:rsid w:val="00B615A2"/>
    <w:rsid w:val="00BB5369"/>
    <w:rsid w:val="00C41465"/>
    <w:rsid w:val="00D97418"/>
    <w:rsid w:val="00DA6CE0"/>
    <w:rsid w:val="00DD5E49"/>
    <w:rsid w:val="00E24489"/>
    <w:rsid w:val="00E45175"/>
    <w:rsid w:val="00F76F59"/>
    <w:rsid w:val="00FB3630"/>
    <w:rsid w:val="00FB61E9"/>
    <w:rsid w:val="00FD4B5A"/>
    <w:rsid w:val="00FE0568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2B5C6"/>
  <w15:docId w15:val="{9EC8C812-E856-4F7A-87DC-9BF2C4A3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4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4BD"/>
    <w:rPr>
      <w:sz w:val="20"/>
      <w:szCs w:val="20"/>
    </w:rPr>
  </w:style>
  <w:style w:type="paragraph" w:customStyle="1" w:styleId="a8">
    <w:name w:val="表格名稱"/>
    <w:basedOn w:val="a"/>
    <w:link w:val="a9"/>
    <w:qFormat/>
    <w:rsid w:val="005F6742"/>
    <w:pPr>
      <w:widowControl/>
      <w:adjustRightInd w:val="0"/>
      <w:snapToGrid w:val="0"/>
      <w:spacing w:beforeLines="50" w:before="120" w:afterLines="50" w:after="120"/>
      <w:ind w:left="480"/>
      <w:jc w:val="center"/>
    </w:pPr>
    <w:rPr>
      <w:rFonts w:ascii="Times New Roman" w:eastAsia="標楷體" w:hAnsi="Times New Roman" w:cs="Times New Roman"/>
      <w:b/>
      <w:bCs/>
      <w:szCs w:val="24"/>
    </w:rPr>
  </w:style>
  <w:style w:type="character" w:customStyle="1" w:styleId="a9">
    <w:name w:val="表格名稱 字元"/>
    <w:link w:val="a8"/>
    <w:rsid w:val="005F6742"/>
    <w:rPr>
      <w:rFonts w:ascii="Times New Roman" w:eastAsia="標楷體" w:hAnsi="Times New Roman" w:cs="Times New Roman"/>
      <w:b/>
      <w:bCs/>
      <w:szCs w:val="24"/>
    </w:rPr>
  </w:style>
  <w:style w:type="character" w:customStyle="1" w:styleId="etdd">
    <w:name w:val="etd_d"/>
    <w:basedOn w:val="a0"/>
    <w:rsid w:val="00DA6CE0"/>
  </w:style>
  <w:style w:type="paragraph" w:styleId="aa">
    <w:name w:val="Balloon Text"/>
    <w:basedOn w:val="a"/>
    <w:link w:val="ab"/>
    <w:uiPriority w:val="99"/>
    <w:semiHidden/>
    <w:unhideWhenUsed/>
    <w:rsid w:val="0038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75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A1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763">
              <w:marLeft w:val="0"/>
              <w:marRight w:val="-8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10</cp:revision>
  <cp:lastPrinted>2020-07-19T06:28:00Z</cp:lastPrinted>
  <dcterms:created xsi:type="dcterms:W3CDTF">2020-07-30T09:14:00Z</dcterms:created>
  <dcterms:modified xsi:type="dcterms:W3CDTF">2024-03-12T01:24:00Z</dcterms:modified>
</cp:coreProperties>
</file>