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F5" w:rsidRDefault="009A562E" w:rsidP="00912FF5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9A562E">
        <w:rPr>
          <w:rFonts w:ascii="標楷體" w:eastAsia="標楷體" w:hAnsi="標楷體" w:hint="eastAsia"/>
          <w:color w:val="000000"/>
          <w:sz w:val="20"/>
          <w:szCs w:val="20"/>
        </w:rPr>
        <w:t>營建工程系</w:t>
      </w:r>
      <w:r w:rsidR="00912FF5" w:rsidRPr="004570AD">
        <w:rPr>
          <w:rFonts w:ascii="標楷體" w:eastAsia="標楷體" w:hAnsi="標楷體" w:hint="eastAsia"/>
          <w:color w:val="000000"/>
          <w:sz w:val="20"/>
          <w:szCs w:val="20"/>
        </w:rPr>
        <w:t xml:space="preserve">  碩士班   </w:t>
      </w:r>
      <w:r w:rsidR="00912FF5">
        <w:rPr>
          <w:rFonts w:ascii="標楷體" w:eastAsia="標楷體" w:hAnsi="標楷體" w:hint="eastAsia"/>
          <w:color w:val="000000"/>
          <w:sz w:val="20"/>
          <w:szCs w:val="20"/>
        </w:rPr>
        <w:t>107</w:t>
      </w:r>
      <w:r w:rsidR="00912FF5" w:rsidRPr="004570AD">
        <w:rPr>
          <w:rFonts w:ascii="標楷體" w:eastAsia="標楷體" w:hAnsi="標楷體" w:hint="eastAsia"/>
          <w:color w:val="000000"/>
          <w:sz w:val="20"/>
          <w:szCs w:val="20"/>
        </w:rPr>
        <w:t>學年度入學課程結構規劃表</w:t>
      </w:r>
    </w:p>
    <w:p w:rsidR="00EC5C35" w:rsidRPr="004570AD" w:rsidRDefault="00EC5C35" w:rsidP="00EC5C35">
      <w:pPr>
        <w:snapToGrid w:val="0"/>
        <w:spacing w:line="36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1</w:t>
      </w:r>
      <w:r w:rsidRPr="00EC5C35">
        <w:rPr>
          <w:rFonts w:ascii="標楷體" w:eastAsia="標楷體" w:hAnsi="標楷體" w:hint="eastAsia"/>
          <w:color w:val="000000"/>
          <w:sz w:val="20"/>
          <w:szCs w:val="20"/>
        </w:rPr>
        <w:t>07年5月2日106學年度第5次系課程委員會會議修正通過</w:t>
      </w:r>
    </w:p>
    <w:tbl>
      <w:tblPr>
        <w:tblW w:w="196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700"/>
        <w:gridCol w:w="1848"/>
        <w:gridCol w:w="2125"/>
        <w:gridCol w:w="2834"/>
        <w:gridCol w:w="284"/>
        <w:gridCol w:w="252"/>
        <w:gridCol w:w="2865"/>
        <w:gridCol w:w="284"/>
        <w:gridCol w:w="294"/>
        <w:gridCol w:w="2682"/>
        <w:gridCol w:w="283"/>
        <w:gridCol w:w="354"/>
        <w:gridCol w:w="2764"/>
        <w:gridCol w:w="283"/>
        <w:gridCol w:w="272"/>
      </w:tblGrid>
      <w:tr w:rsidR="0012262C" w:rsidRPr="00B22B5D" w:rsidTr="0012262C">
        <w:trPr>
          <w:trHeight w:val="338"/>
          <w:jc w:val="center"/>
        </w:trPr>
        <w:tc>
          <w:tcPr>
            <w:tcW w:w="6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一年級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二年級</w:t>
            </w:r>
          </w:p>
        </w:tc>
      </w:tr>
      <w:tr w:rsidR="0012262C" w:rsidRPr="00B22B5D" w:rsidTr="0012262C">
        <w:trPr>
          <w:trHeight w:val="338"/>
          <w:jc w:val="center"/>
        </w:trPr>
        <w:tc>
          <w:tcPr>
            <w:tcW w:w="62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第二學期</w:t>
            </w:r>
          </w:p>
        </w:tc>
      </w:tr>
      <w:tr w:rsidR="0012262C" w:rsidRPr="00B22B5D" w:rsidTr="0012262C">
        <w:trPr>
          <w:trHeight w:val="338"/>
          <w:jc w:val="center"/>
        </w:trPr>
        <w:tc>
          <w:tcPr>
            <w:tcW w:w="62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2C" w:rsidRPr="00B22B5D" w:rsidRDefault="0012262C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12262C" w:rsidRPr="00B22B5D" w:rsidTr="009738E8">
        <w:trPr>
          <w:trHeight w:val="33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C" w:rsidRPr="00B22B5D" w:rsidRDefault="0012262C" w:rsidP="0012262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學院</w:t>
            </w:r>
          </w:p>
          <w:p w:rsidR="0012262C" w:rsidRPr="00B22B5D" w:rsidRDefault="0012262C" w:rsidP="0012262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跨領域課程</w:t>
            </w:r>
          </w:p>
          <w:p w:rsidR="0012262C" w:rsidRPr="00B22B5D" w:rsidRDefault="0012262C" w:rsidP="0012262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（由學院開課）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2C" w:rsidRPr="00B22B5D" w:rsidRDefault="0012262C" w:rsidP="0012262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134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62C" w:rsidRPr="00B22B5D" w:rsidRDefault="0012262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教學實習微學分(1/1)</w:t>
            </w:r>
          </w:p>
        </w:tc>
      </w:tr>
      <w:tr w:rsidR="00047C3C" w:rsidRPr="00B22B5D" w:rsidTr="00744A4C">
        <w:trPr>
          <w:trHeight w:val="283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3C" w:rsidRPr="00B22B5D" w:rsidRDefault="00047C3C" w:rsidP="00C0506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專業課程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3C" w:rsidRPr="00B22B5D" w:rsidRDefault="00047C3C" w:rsidP="009738E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3C" w:rsidRPr="00B22B5D" w:rsidRDefault="00047C3C" w:rsidP="009738E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應修學分數</w:t>
            </w:r>
          </w:p>
          <w:p w:rsidR="00047C3C" w:rsidRPr="00B22B5D" w:rsidRDefault="00047C3C" w:rsidP="009738E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8學分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hint="eastAsia"/>
                <w:sz w:val="18"/>
                <w:szCs w:val="18"/>
              </w:rPr>
              <w:t>專題討論(一)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hint="eastAsia"/>
                <w:sz w:val="18"/>
                <w:szCs w:val="18"/>
              </w:rPr>
              <w:t>專題討論(二)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論文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論文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3C" w:rsidRPr="00B22B5D" w:rsidRDefault="00047C3C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6F2667" w:rsidP="00D84B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結構領域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應修學分數</w:t>
            </w:r>
          </w:p>
          <w:p w:rsidR="008B50E5" w:rsidRPr="00B22B5D" w:rsidRDefault="008B50E5" w:rsidP="00B22B5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  <w:r w:rsidR="00B22B5D"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◎橋梁設計與補強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地震工程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9129C2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129C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</w:t>
            </w:r>
            <w:r w:rsidR="008B50E5"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混凝土檢測修補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▲結構控制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高等鋼筋混凝土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實驗動力學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▲結構減震技術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▲高等鋼筋混凝土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有限元素法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高等鋼結構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▲高等工程數學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▲鋼結構耐震設計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彈性力學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高等結構分析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高等材料力學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數值分析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結構動力學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高等工程材料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高性能混凝土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防震新科技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木結構設計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▲塑性與複合材料力學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8B50E5" w:rsidRPr="00B22B5D" w:rsidTr="0010287F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E5" w:rsidRPr="00B22B5D" w:rsidRDefault="008B50E5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橋梁檢測評估與補強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▲混凝土耐久性設計與評估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E5" w:rsidRPr="00B22B5D" w:rsidRDefault="008B50E5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2F03CD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2F03CD" w:rsidP="002F03C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工程管理領域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7E6C6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工程專案計畫管理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工程經濟學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營建業電子商務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非線性模式在工程管理上之應用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A875E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7E6C6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●系統思考與學習型組織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營建管理資訊系統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工程法務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工程計量分析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不動產投資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國際化營建管理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●決策分析及研究方法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●系統動力學II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●全面品質管理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●生產力評量與控制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系統動力學I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F2667" w:rsidRPr="00B22B5D" w:rsidTr="00732FCA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營建工程作業研究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7" w:rsidRPr="00B22B5D" w:rsidRDefault="006F266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D6A77" w:rsidRPr="00B22B5D" w:rsidTr="005D6A77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5D6A7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大地領域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土壤工程行為學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土壤動力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岩石力學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9129C2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129C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</w:t>
            </w:r>
            <w:r w:rsidR="005D6A77"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坡地工程與生態技術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5D6A77" w:rsidRPr="00B22B5D" w:rsidTr="00EA480B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基礎分析與評估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邊坡穩定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應用土力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9129C2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129C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</w:t>
            </w:r>
            <w:r w:rsidR="005D6A77"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隧道工程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5D6A77" w:rsidRPr="00B22B5D" w:rsidTr="00EA480B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地下水與滲流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大地工程數值分析應用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大地地震工程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鋪面設計與施工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5D6A77" w:rsidRPr="00B22B5D" w:rsidTr="00EA480B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監測技術原理與運用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大地工程實務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77" w:rsidRPr="00B22B5D" w:rsidRDefault="005D6A77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2B5D" w:rsidRPr="00B22B5D" w:rsidTr="00B22B5D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B22B5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建築技術領域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永續營建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▲/建築壽命預測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建築省能系統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建築環境管理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B22B5D" w:rsidRPr="00B22B5D" w:rsidTr="00557E35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智慧型建築環境資訊技術應用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生態工程材料選擇與應用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▲開放系統營建(一)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工程技術專案整合研究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B22B5D" w:rsidRPr="00B22B5D" w:rsidTr="00557E35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3A51A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▲建築生命週期工程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工程技術專案分析與規劃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▲建築生產研究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▲開放系統營建(二)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B22B5D" w:rsidRPr="00B22B5D" w:rsidTr="00557E35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3A51A4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建築技術特論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▲開放式建築構造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2B5D" w:rsidRPr="00B22B5D" w:rsidTr="00557E35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▲智慧型建築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2B5D" w:rsidRPr="00B22B5D" w:rsidTr="006E4C39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B22B5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共同選修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國際專題研究A(一)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◆環境災害與回復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2B5D" w:rsidRPr="00B22B5D" w:rsidTr="006E4C39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國際專題研究B(一)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國際專題研究A(二)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2B5D" w:rsidRPr="00B22B5D" w:rsidTr="006E4C39">
        <w:trPr>
          <w:trHeight w:val="283"/>
          <w:jc w:val="center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國際專題研究B(二)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22B5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5D" w:rsidRPr="00B22B5D" w:rsidRDefault="00B22B5D" w:rsidP="0012262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CE41C5" w:rsidRPr="006F4145" w:rsidRDefault="00CE41C5" w:rsidP="00CE41C5">
      <w:pPr>
        <w:snapToGrid w:val="0"/>
        <w:spacing w:line="360" w:lineRule="exact"/>
        <w:ind w:leftChars="354" w:left="850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 w:hAnsi="標楷體"/>
          <w:b/>
          <w:bCs/>
          <w:color w:val="000000"/>
          <w:sz w:val="20"/>
          <w:szCs w:val="20"/>
        </w:rPr>
        <w:t>備註：</w:t>
      </w:r>
      <w:r w:rsidRPr="006F4145">
        <w:rPr>
          <w:rFonts w:eastAsia="標楷體"/>
          <w:color w:val="000000"/>
          <w:sz w:val="20"/>
          <w:szCs w:val="20"/>
        </w:rPr>
        <w:t xml:space="preserve"> </w:t>
      </w:r>
    </w:p>
    <w:p w:rsidR="00CE41C5" w:rsidRPr="006F4145" w:rsidRDefault="00CE41C5" w:rsidP="00CE41C5">
      <w:pPr>
        <w:snapToGrid w:val="0"/>
        <w:spacing w:line="360" w:lineRule="exact"/>
        <w:ind w:leftChars="590" w:left="1416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 w:hAnsi="標楷體"/>
          <w:color w:val="000000"/>
          <w:sz w:val="20"/>
          <w:szCs w:val="20"/>
        </w:rPr>
        <w:t>一、畢業總學分數為</w:t>
      </w:r>
      <w:r w:rsidRPr="006F4145">
        <w:rPr>
          <w:rFonts w:eastAsia="標楷體"/>
          <w:color w:val="000000"/>
          <w:sz w:val="20"/>
          <w:szCs w:val="20"/>
        </w:rPr>
        <w:t xml:space="preserve"> </w:t>
      </w:r>
      <w:r w:rsidR="005F0439" w:rsidRPr="006F4145">
        <w:rPr>
          <w:rFonts w:eastAsia="標楷體"/>
          <w:color w:val="000000"/>
          <w:sz w:val="20"/>
          <w:szCs w:val="20"/>
        </w:rPr>
        <w:t>3</w:t>
      </w:r>
      <w:r w:rsidR="00B22B5D" w:rsidRPr="006F4145">
        <w:rPr>
          <w:rFonts w:eastAsia="標楷體"/>
          <w:color w:val="000000"/>
          <w:sz w:val="20"/>
          <w:szCs w:val="20"/>
        </w:rPr>
        <w:t>2</w:t>
      </w:r>
      <w:r w:rsidRPr="006F4145">
        <w:rPr>
          <w:rFonts w:eastAsia="標楷體"/>
          <w:color w:val="000000"/>
          <w:sz w:val="20"/>
          <w:szCs w:val="20"/>
        </w:rPr>
        <w:t xml:space="preserve"> </w:t>
      </w:r>
      <w:r w:rsidRPr="006F4145">
        <w:rPr>
          <w:rFonts w:eastAsia="標楷體" w:hAnsi="標楷體"/>
          <w:color w:val="000000"/>
          <w:sz w:val="20"/>
          <w:szCs w:val="20"/>
        </w:rPr>
        <w:t>學分。</w:t>
      </w:r>
    </w:p>
    <w:p w:rsidR="00CE41C5" w:rsidRPr="006F4145" w:rsidRDefault="00CE41C5" w:rsidP="00CE41C5">
      <w:pPr>
        <w:snapToGrid w:val="0"/>
        <w:spacing w:line="360" w:lineRule="exact"/>
        <w:ind w:leftChars="590" w:left="1416"/>
        <w:rPr>
          <w:rFonts w:eastAsia="標楷體"/>
          <w:sz w:val="20"/>
          <w:szCs w:val="20"/>
        </w:rPr>
      </w:pPr>
      <w:r w:rsidRPr="006F4145">
        <w:rPr>
          <w:rFonts w:eastAsia="標楷體" w:hAnsi="標楷體"/>
          <w:color w:val="000000"/>
          <w:sz w:val="20"/>
          <w:szCs w:val="20"/>
        </w:rPr>
        <w:t>二、</w:t>
      </w:r>
      <w:r w:rsidR="0043602B" w:rsidRPr="006F4145">
        <w:rPr>
          <w:rFonts w:eastAsia="標楷體" w:hAnsi="標楷體"/>
          <w:sz w:val="20"/>
          <w:szCs w:val="20"/>
        </w:rPr>
        <w:t>必修</w:t>
      </w:r>
      <w:r w:rsidR="00B22B5D" w:rsidRPr="006F4145">
        <w:rPr>
          <w:rFonts w:eastAsia="標楷體"/>
          <w:sz w:val="20"/>
          <w:szCs w:val="20"/>
        </w:rPr>
        <w:t>8</w:t>
      </w:r>
      <w:r w:rsidR="0043602B" w:rsidRPr="006F4145">
        <w:rPr>
          <w:rFonts w:eastAsia="標楷體" w:hAnsi="標楷體"/>
          <w:sz w:val="20"/>
          <w:szCs w:val="20"/>
        </w:rPr>
        <w:t>學分，選修</w:t>
      </w:r>
      <w:r w:rsidR="0043602B" w:rsidRPr="006F4145">
        <w:rPr>
          <w:rFonts w:eastAsia="標楷體"/>
          <w:sz w:val="20"/>
          <w:szCs w:val="20"/>
        </w:rPr>
        <w:t>2</w:t>
      </w:r>
      <w:r w:rsidR="00B22B5D" w:rsidRPr="006F4145">
        <w:rPr>
          <w:rFonts w:eastAsia="標楷體"/>
          <w:sz w:val="20"/>
          <w:szCs w:val="20"/>
        </w:rPr>
        <w:t>4</w:t>
      </w:r>
      <w:r w:rsidR="0043602B" w:rsidRPr="006F4145">
        <w:rPr>
          <w:rFonts w:eastAsia="標楷體" w:hAnsi="標楷體"/>
          <w:sz w:val="20"/>
          <w:szCs w:val="20"/>
        </w:rPr>
        <w:t>學分。</w:t>
      </w:r>
    </w:p>
    <w:p w:rsidR="0043602B" w:rsidRPr="006F4145" w:rsidRDefault="0043602B" w:rsidP="00CE41C5">
      <w:pPr>
        <w:snapToGrid w:val="0"/>
        <w:spacing w:line="360" w:lineRule="exact"/>
        <w:ind w:leftChars="590" w:left="1416"/>
        <w:rPr>
          <w:rFonts w:eastAsia="標楷體"/>
          <w:color w:val="FF0000"/>
          <w:sz w:val="20"/>
          <w:szCs w:val="20"/>
        </w:rPr>
      </w:pPr>
      <w:r w:rsidRPr="006F4145">
        <w:rPr>
          <w:rFonts w:eastAsia="標楷體" w:hAnsi="標楷體"/>
          <w:color w:val="FF0000"/>
          <w:sz w:val="20"/>
          <w:szCs w:val="20"/>
        </w:rPr>
        <w:t>三、學生修讀所屬學院之「學院共同課程」應認</w:t>
      </w:r>
      <w:bookmarkStart w:id="0" w:name="_GoBack"/>
      <w:bookmarkEnd w:id="0"/>
      <w:r w:rsidRPr="006F4145">
        <w:rPr>
          <w:rFonts w:eastAsia="標楷體" w:hAnsi="標楷體"/>
          <w:color w:val="FF0000"/>
          <w:sz w:val="20"/>
          <w:szCs w:val="20"/>
        </w:rPr>
        <w:t>列為本系專業課程學分；修讀所屬學院之「學院跨領域課程」或其他學院開課之課程，則認列為外系課程學分。</w:t>
      </w:r>
    </w:p>
    <w:p w:rsidR="0043602B" w:rsidRPr="006F4145" w:rsidRDefault="0043602B" w:rsidP="00CE41C5">
      <w:pPr>
        <w:snapToGrid w:val="0"/>
        <w:spacing w:line="360" w:lineRule="exact"/>
        <w:ind w:leftChars="590" w:left="1416"/>
        <w:rPr>
          <w:rFonts w:eastAsia="標楷體"/>
          <w:color w:val="FF0000"/>
          <w:sz w:val="20"/>
          <w:szCs w:val="20"/>
        </w:rPr>
      </w:pPr>
      <w:r w:rsidRPr="006F4145">
        <w:rPr>
          <w:rFonts w:eastAsia="標楷體" w:hAnsi="標楷體"/>
          <w:color w:val="FF0000"/>
          <w:sz w:val="20"/>
          <w:szCs w:val="20"/>
        </w:rPr>
        <w:t>四、學院或系所開設之教學實習微學分課程列為畢業學分。</w:t>
      </w:r>
    </w:p>
    <w:p w:rsidR="00864CFA" w:rsidRPr="006F4145" w:rsidRDefault="0043602B" w:rsidP="00CE41C5">
      <w:pPr>
        <w:snapToGrid w:val="0"/>
        <w:spacing w:line="360" w:lineRule="exact"/>
        <w:ind w:leftChars="590" w:left="1416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 w:hAnsi="標楷體"/>
          <w:color w:val="FF0000"/>
          <w:sz w:val="20"/>
          <w:szCs w:val="20"/>
        </w:rPr>
        <w:t>五</w:t>
      </w:r>
      <w:r w:rsidR="00864CFA" w:rsidRPr="006F4145">
        <w:rPr>
          <w:rFonts w:eastAsia="標楷體" w:hAnsi="標楷體"/>
          <w:color w:val="000000"/>
          <w:sz w:val="20"/>
          <w:szCs w:val="20"/>
        </w:rPr>
        <w:t>、系所訂定條件（學程、檢定、證照、承認外系學分及其他）：</w:t>
      </w:r>
    </w:p>
    <w:p w:rsidR="00B22B5D" w:rsidRPr="006F4145" w:rsidRDefault="00B22B5D" w:rsidP="00B22B5D">
      <w:pPr>
        <w:snapToGrid w:val="0"/>
        <w:spacing w:line="360" w:lineRule="exact"/>
        <w:ind w:left="1210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/>
          <w:sz w:val="20"/>
          <w:szCs w:val="20"/>
        </w:rPr>
        <w:t xml:space="preserve">      </w:t>
      </w:r>
      <w:r w:rsidR="00B2666E" w:rsidRPr="006F4145">
        <w:rPr>
          <w:rFonts w:eastAsia="標楷體"/>
          <w:sz w:val="20"/>
          <w:szCs w:val="20"/>
        </w:rPr>
        <w:t xml:space="preserve"> </w:t>
      </w:r>
      <w:r w:rsidRPr="006F4145">
        <w:rPr>
          <w:rFonts w:eastAsia="標楷體"/>
          <w:color w:val="000000"/>
          <w:sz w:val="20"/>
          <w:szCs w:val="20"/>
        </w:rPr>
        <w:t>(1)▲</w:t>
      </w:r>
      <w:r w:rsidRPr="006F4145">
        <w:rPr>
          <w:rFonts w:eastAsia="標楷體" w:hAnsi="標楷體"/>
          <w:color w:val="000000"/>
          <w:sz w:val="20"/>
          <w:szCs w:val="20"/>
        </w:rPr>
        <w:t>代表與營建工程組博士班合開</w:t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</w:p>
    <w:p w:rsidR="00B22B5D" w:rsidRPr="006F4145" w:rsidRDefault="00B22B5D" w:rsidP="00B22B5D">
      <w:pPr>
        <w:snapToGrid w:val="0"/>
        <w:spacing w:line="360" w:lineRule="exact"/>
        <w:ind w:left="1904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/>
          <w:color w:val="000000"/>
          <w:sz w:val="20"/>
          <w:szCs w:val="20"/>
        </w:rPr>
        <w:t>(2)●</w:t>
      </w:r>
      <w:r w:rsidRPr="006F4145">
        <w:rPr>
          <w:rFonts w:eastAsia="標楷體" w:hAnsi="標楷體"/>
          <w:color w:val="000000"/>
          <w:sz w:val="20"/>
          <w:szCs w:val="20"/>
        </w:rPr>
        <w:t>代表與工程管理組博士班合開</w:t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</w:p>
    <w:p w:rsidR="00B22B5D" w:rsidRPr="006F4145" w:rsidRDefault="00B22B5D" w:rsidP="00B22B5D">
      <w:pPr>
        <w:snapToGrid w:val="0"/>
        <w:spacing w:line="360" w:lineRule="exact"/>
        <w:ind w:left="1904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/>
          <w:color w:val="000000"/>
          <w:sz w:val="20"/>
          <w:szCs w:val="20"/>
        </w:rPr>
        <w:t>(3)</w:t>
      </w:r>
      <w:r w:rsidRPr="006F4145">
        <w:rPr>
          <w:rFonts w:eastAsia="標楷體" w:hAnsi="標楷體"/>
          <w:color w:val="000000"/>
          <w:sz w:val="20"/>
          <w:szCs w:val="20"/>
        </w:rPr>
        <w:t>◎代表與大學部合開</w:t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</w:p>
    <w:p w:rsidR="00B22B5D" w:rsidRPr="006F4145" w:rsidRDefault="00B22B5D" w:rsidP="00B22B5D">
      <w:pPr>
        <w:snapToGrid w:val="0"/>
        <w:spacing w:line="360" w:lineRule="exact"/>
        <w:ind w:left="1904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/>
          <w:color w:val="000000"/>
          <w:sz w:val="20"/>
          <w:szCs w:val="20"/>
        </w:rPr>
        <w:lastRenderedPageBreak/>
        <w:t>(4)</w:t>
      </w:r>
      <w:r w:rsidRPr="006F4145">
        <w:rPr>
          <w:rFonts w:eastAsia="標楷體" w:hAnsi="標楷體"/>
          <w:color w:val="000000"/>
          <w:sz w:val="20"/>
          <w:szCs w:val="20"/>
        </w:rPr>
        <w:t>◆代表於暑期開設</w:t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  <w:r w:rsidRPr="006F4145">
        <w:rPr>
          <w:rFonts w:eastAsia="標楷體"/>
          <w:color w:val="000000"/>
          <w:sz w:val="20"/>
          <w:szCs w:val="20"/>
        </w:rPr>
        <w:tab/>
      </w:r>
    </w:p>
    <w:p w:rsidR="00B22B5D" w:rsidRPr="006F4145" w:rsidRDefault="00B22B5D" w:rsidP="006F4145">
      <w:pPr>
        <w:snapToGrid w:val="0"/>
        <w:spacing w:line="360" w:lineRule="exact"/>
        <w:ind w:leftChars="787" w:left="2133" w:hangingChars="122" w:hanging="244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/>
          <w:color w:val="000000"/>
          <w:sz w:val="20"/>
          <w:szCs w:val="20"/>
        </w:rPr>
        <w:t>(5)105</w:t>
      </w:r>
      <w:r w:rsidRPr="006F4145">
        <w:rPr>
          <w:rFonts w:eastAsia="標楷體" w:hAnsi="標楷體"/>
          <w:color w:val="000000"/>
          <w:sz w:val="20"/>
          <w:szCs w:val="20"/>
        </w:rPr>
        <w:t>學年度</w:t>
      </w:r>
      <w:r w:rsidRPr="006F4145">
        <w:rPr>
          <w:rFonts w:eastAsia="標楷體"/>
          <w:color w:val="000000"/>
          <w:sz w:val="20"/>
          <w:szCs w:val="20"/>
        </w:rPr>
        <w:t>(</w:t>
      </w:r>
      <w:r w:rsidRPr="006F4145">
        <w:rPr>
          <w:rFonts w:eastAsia="標楷體" w:hAnsi="標楷體"/>
          <w:color w:val="000000"/>
          <w:sz w:val="20"/>
          <w:szCs w:val="20"/>
        </w:rPr>
        <w:t>含</w:t>
      </w:r>
      <w:r w:rsidRPr="006F4145">
        <w:rPr>
          <w:rFonts w:eastAsia="標楷體"/>
          <w:color w:val="000000"/>
          <w:sz w:val="20"/>
          <w:szCs w:val="20"/>
        </w:rPr>
        <w:t>)</w:t>
      </w:r>
      <w:r w:rsidRPr="006F4145">
        <w:rPr>
          <w:rFonts w:eastAsia="標楷體" w:hAnsi="標楷體"/>
          <w:color w:val="000000"/>
          <w:sz w:val="20"/>
          <w:szCs w:val="20"/>
        </w:rPr>
        <w:t>後入學之碩士研究生畢業論文須完成公開發表，公開發表形式不侷限於國內外研討會，經公開發表形式即可，如可於系上專題討論課程中發表，並經參與老師簽名證明後，方能向系辦公室提出論文口試申請。</w:t>
      </w:r>
    </w:p>
    <w:p w:rsidR="00B22B5D" w:rsidRPr="006F4145" w:rsidRDefault="00B22B5D" w:rsidP="006F4145">
      <w:pPr>
        <w:snapToGrid w:val="0"/>
        <w:spacing w:beforeLines="10" w:before="36" w:afterLines="10" w:after="36"/>
        <w:ind w:firstLineChars="924" w:firstLine="1848"/>
        <w:rPr>
          <w:rFonts w:eastAsia="標楷體"/>
          <w:color w:val="000000"/>
          <w:sz w:val="20"/>
          <w:szCs w:val="20"/>
        </w:rPr>
      </w:pPr>
      <w:r w:rsidRPr="006F4145">
        <w:rPr>
          <w:rFonts w:eastAsia="標楷體"/>
          <w:color w:val="000000"/>
          <w:sz w:val="20"/>
          <w:szCs w:val="20"/>
        </w:rPr>
        <w:t>(6)</w:t>
      </w:r>
      <w:r w:rsidRPr="006F4145">
        <w:rPr>
          <w:rFonts w:eastAsia="標楷體" w:hAnsi="標楷體"/>
          <w:color w:val="000000"/>
          <w:sz w:val="20"/>
          <w:szCs w:val="20"/>
        </w:rPr>
        <w:t>工學院開設之教學實習微學分課程列為畢業學分</w:t>
      </w:r>
      <w:r w:rsidRPr="006F4145">
        <w:rPr>
          <w:rFonts w:eastAsia="標楷體"/>
          <w:color w:val="000000"/>
          <w:sz w:val="20"/>
          <w:szCs w:val="20"/>
        </w:rPr>
        <w:t>(</w:t>
      </w:r>
      <w:r w:rsidRPr="006F4145">
        <w:rPr>
          <w:rFonts w:eastAsia="標楷體" w:hAnsi="標楷體"/>
          <w:color w:val="000000"/>
          <w:sz w:val="20"/>
          <w:szCs w:val="20"/>
        </w:rPr>
        <w:t>擔任教學獎助生者須修讀並通過考核</w:t>
      </w:r>
      <w:r w:rsidRPr="006F4145">
        <w:rPr>
          <w:rFonts w:eastAsia="標楷體"/>
          <w:color w:val="000000"/>
          <w:sz w:val="20"/>
          <w:szCs w:val="20"/>
        </w:rPr>
        <w:t>)</w:t>
      </w:r>
      <w:r w:rsidRPr="006F4145">
        <w:rPr>
          <w:rFonts w:eastAsia="標楷體" w:hAnsi="標楷體"/>
          <w:color w:val="000000"/>
          <w:sz w:val="20"/>
          <w:szCs w:val="20"/>
        </w:rPr>
        <w:t>。</w:t>
      </w:r>
    </w:p>
    <w:p w:rsidR="00B22B5D" w:rsidRPr="00B2666E" w:rsidRDefault="00B22B5D" w:rsidP="006F4145">
      <w:pPr>
        <w:snapToGrid w:val="0"/>
        <w:spacing w:beforeLines="10" w:before="36" w:afterLines="10" w:after="36"/>
        <w:ind w:firstLineChars="924" w:firstLine="1848"/>
        <w:rPr>
          <w:rFonts w:ascii="標楷體" w:eastAsia="標楷體" w:hAnsi="標楷體"/>
          <w:bCs/>
        </w:rPr>
      </w:pPr>
      <w:r w:rsidRPr="006F4145">
        <w:rPr>
          <w:rFonts w:eastAsia="標楷體"/>
          <w:color w:val="000000"/>
          <w:sz w:val="20"/>
          <w:szCs w:val="20"/>
        </w:rPr>
        <w:t>(7)</w:t>
      </w:r>
      <w:r w:rsidRPr="006F4145">
        <w:rPr>
          <w:rFonts w:eastAsia="標楷體"/>
          <w:color w:val="FF0000"/>
          <w:sz w:val="20"/>
          <w:szCs w:val="20"/>
        </w:rPr>
        <w:t xml:space="preserve"> </w:t>
      </w:r>
      <w:r w:rsidRPr="006F4145">
        <w:rPr>
          <w:rFonts w:eastAsia="標楷體" w:hAnsi="標楷體"/>
          <w:color w:val="FF0000"/>
          <w:sz w:val="20"/>
          <w:szCs w:val="20"/>
        </w:rPr>
        <w:t>承認外系課程</w:t>
      </w:r>
      <w:r w:rsidRPr="006F4145">
        <w:rPr>
          <w:rFonts w:eastAsia="標楷體"/>
          <w:color w:val="FF0000"/>
          <w:sz w:val="20"/>
          <w:szCs w:val="20"/>
        </w:rPr>
        <w:t>3</w:t>
      </w:r>
      <w:r w:rsidRPr="006F4145">
        <w:rPr>
          <w:rFonts w:eastAsia="標楷體" w:hAnsi="標楷體"/>
          <w:color w:val="FF0000"/>
          <w:sz w:val="20"/>
          <w:szCs w:val="20"/>
        </w:rPr>
        <w:t>學分。</w:t>
      </w:r>
    </w:p>
    <w:p w:rsidR="00B2666E" w:rsidRPr="00B2666E" w:rsidRDefault="00B2666E" w:rsidP="00B20C03">
      <w:pPr>
        <w:snapToGrid w:val="0"/>
        <w:spacing w:beforeLines="10" w:before="36" w:afterLines="10" w:after="36"/>
        <w:ind w:left="1210"/>
        <w:rPr>
          <w:rFonts w:ascii="標楷體" w:eastAsia="標楷體" w:hAnsi="標楷體"/>
          <w:bCs/>
        </w:rPr>
      </w:pPr>
    </w:p>
    <w:p w:rsidR="00B2666E" w:rsidRPr="00B2666E" w:rsidRDefault="00B2666E" w:rsidP="00CE41C5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</w:p>
    <w:p w:rsidR="004B2438" w:rsidRDefault="004B2438">
      <w:pPr>
        <w:widowControl/>
      </w:pPr>
    </w:p>
    <w:sectPr w:rsidR="004B2438" w:rsidSect="00BD034F">
      <w:pgSz w:w="23814" w:h="16839" w:orient="landscape" w:code="8"/>
      <w:pgMar w:top="567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F0" w:rsidRDefault="00FD54F0" w:rsidP="00BC2124">
      <w:r>
        <w:separator/>
      </w:r>
    </w:p>
  </w:endnote>
  <w:endnote w:type="continuationSeparator" w:id="0">
    <w:p w:rsidR="00FD54F0" w:rsidRDefault="00FD54F0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F0" w:rsidRDefault="00FD54F0" w:rsidP="00BC2124">
      <w:r>
        <w:separator/>
      </w:r>
    </w:p>
  </w:footnote>
  <w:footnote w:type="continuationSeparator" w:id="0">
    <w:p w:rsidR="00FD54F0" w:rsidRDefault="00FD54F0" w:rsidP="00BC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3B6"/>
    <w:rsid w:val="00000B0B"/>
    <w:rsid w:val="000131A8"/>
    <w:rsid w:val="000166DE"/>
    <w:rsid w:val="00047C3C"/>
    <w:rsid w:val="00063DCB"/>
    <w:rsid w:val="000B23CE"/>
    <w:rsid w:val="000C0D24"/>
    <w:rsid w:val="000C3E92"/>
    <w:rsid w:val="00102767"/>
    <w:rsid w:val="00116B69"/>
    <w:rsid w:val="00120EF8"/>
    <w:rsid w:val="0012262C"/>
    <w:rsid w:val="0015798A"/>
    <w:rsid w:val="00172ED3"/>
    <w:rsid w:val="001D22D6"/>
    <w:rsid w:val="001D2369"/>
    <w:rsid w:val="001F0060"/>
    <w:rsid w:val="001F39A4"/>
    <w:rsid w:val="00261698"/>
    <w:rsid w:val="002670E5"/>
    <w:rsid w:val="00273368"/>
    <w:rsid w:val="00283DA5"/>
    <w:rsid w:val="00292E18"/>
    <w:rsid w:val="002D23B6"/>
    <w:rsid w:val="002D25D7"/>
    <w:rsid w:val="002D7DF8"/>
    <w:rsid w:val="002E2A27"/>
    <w:rsid w:val="002E4678"/>
    <w:rsid w:val="002E5F81"/>
    <w:rsid w:val="002F03CD"/>
    <w:rsid w:val="002F1D79"/>
    <w:rsid w:val="002F482C"/>
    <w:rsid w:val="002F49E5"/>
    <w:rsid w:val="002F56E3"/>
    <w:rsid w:val="00302D77"/>
    <w:rsid w:val="003357F2"/>
    <w:rsid w:val="0034136B"/>
    <w:rsid w:val="00341536"/>
    <w:rsid w:val="003615E5"/>
    <w:rsid w:val="003A51A4"/>
    <w:rsid w:val="003B3DDF"/>
    <w:rsid w:val="003D6EDA"/>
    <w:rsid w:val="003E4A06"/>
    <w:rsid w:val="003F7B91"/>
    <w:rsid w:val="00434E8C"/>
    <w:rsid w:val="0043602B"/>
    <w:rsid w:val="00441AAB"/>
    <w:rsid w:val="00445D3F"/>
    <w:rsid w:val="004825E7"/>
    <w:rsid w:val="004B2438"/>
    <w:rsid w:val="004D5E19"/>
    <w:rsid w:val="00506245"/>
    <w:rsid w:val="005277E4"/>
    <w:rsid w:val="005322BF"/>
    <w:rsid w:val="00552546"/>
    <w:rsid w:val="005542BB"/>
    <w:rsid w:val="00557242"/>
    <w:rsid w:val="00585A31"/>
    <w:rsid w:val="00592186"/>
    <w:rsid w:val="005B1C24"/>
    <w:rsid w:val="005D0B90"/>
    <w:rsid w:val="005D189C"/>
    <w:rsid w:val="005D6A77"/>
    <w:rsid w:val="005F0439"/>
    <w:rsid w:val="0061639B"/>
    <w:rsid w:val="0062191A"/>
    <w:rsid w:val="00630B5F"/>
    <w:rsid w:val="00634FBD"/>
    <w:rsid w:val="00672ADF"/>
    <w:rsid w:val="00697394"/>
    <w:rsid w:val="006A3371"/>
    <w:rsid w:val="006B2AA3"/>
    <w:rsid w:val="006C52BF"/>
    <w:rsid w:val="006D1650"/>
    <w:rsid w:val="006F122B"/>
    <w:rsid w:val="006F2667"/>
    <w:rsid w:val="006F4145"/>
    <w:rsid w:val="006F42A7"/>
    <w:rsid w:val="00702B34"/>
    <w:rsid w:val="00710635"/>
    <w:rsid w:val="007507EF"/>
    <w:rsid w:val="00750FD0"/>
    <w:rsid w:val="00757131"/>
    <w:rsid w:val="00790CD0"/>
    <w:rsid w:val="007B155C"/>
    <w:rsid w:val="007E6C6C"/>
    <w:rsid w:val="007F3984"/>
    <w:rsid w:val="0082632D"/>
    <w:rsid w:val="0085603C"/>
    <w:rsid w:val="00861B7A"/>
    <w:rsid w:val="00864CFA"/>
    <w:rsid w:val="00890D3A"/>
    <w:rsid w:val="008A1621"/>
    <w:rsid w:val="008B3FA4"/>
    <w:rsid w:val="008B50E5"/>
    <w:rsid w:val="008D12FC"/>
    <w:rsid w:val="008D3452"/>
    <w:rsid w:val="008D7739"/>
    <w:rsid w:val="008F5776"/>
    <w:rsid w:val="009129C2"/>
    <w:rsid w:val="00912FF5"/>
    <w:rsid w:val="009139F3"/>
    <w:rsid w:val="00947A70"/>
    <w:rsid w:val="00962351"/>
    <w:rsid w:val="00967B16"/>
    <w:rsid w:val="009738E8"/>
    <w:rsid w:val="009777FC"/>
    <w:rsid w:val="009952DB"/>
    <w:rsid w:val="009A562E"/>
    <w:rsid w:val="009B6A90"/>
    <w:rsid w:val="009D54E4"/>
    <w:rsid w:val="00A0306A"/>
    <w:rsid w:val="00A1445B"/>
    <w:rsid w:val="00A366C2"/>
    <w:rsid w:val="00A725A8"/>
    <w:rsid w:val="00A875EC"/>
    <w:rsid w:val="00AC74C8"/>
    <w:rsid w:val="00AE6A6C"/>
    <w:rsid w:val="00B03A8C"/>
    <w:rsid w:val="00B16189"/>
    <w:rsid w:val="00B20C03"/>
    <w:rsid w:val="00B22B5D"/>
    <w:rsid w:val="00B2666E"/>
    <w:rsid w:val="00B45C81"/>
    <w:rsid w:val="00BB6D8C"/>
    <w:rsid w:val="00BC2124"/>
    <w:rsid w:val="00BC60C5"/>
    <w:rsid w:val="00BD034F"/>
    <w:rsid w:val="00BE2F05"/>
    <w:rsid w:val="00C0506A"/>
    <w:rsid w:val="00C224EB"/>
    <w:rsid w:val="00C93FBA"/>
    <w:rsid w:val="00CD7BCD"/>
    <w:rsid w:val="00CE41C5"/>
    <w:rsid w:val="00D12FB9"/>
    <w:rsid w:val="00D154D4"/>
    <w:rsid w:val="00D45008"/>
    <w:rsid w:val="00D84B91"/>
    <w:rsid w:val="00DE4F9E"/>
    <w:rsid w:val="00DF7CD0"/>
    <w:rsid w:val="00E15A48"/>
    <w:rsid w:val="00E41D18"/>
    <w:rsid w:val="00E57FDF"/>
    <w:rsid w:val="00E62DBD"/>
    <w:rsid w:val="00E63A91"/>
    <w:rsid w:val="00E66EFA"/>
    <w:rsid w:val="00E805BF"/>
    <w:rsid w:val="00EA3860"/>
    <w:rsid w:val="00EC5C35"/>
    <w:rsid w:val="00EE5BC9"/>
    <w:rsid w:val="00F01315"/>
    <w:rsid w:val="00F55F80"/>
    <w:rsid w:val="00F8158F"/>
    <w:rsid w:val="00FC4E0F"/>
    <w:rsid w:val="00FD3975"/>
    <w:rsid w:val="00FD54F0"/>
    <w:rsid w:val="00FE13B5"/>
    <w:rsid w:val="00FE3C26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DF5B4-F979-44CF-BACD-EAA5ACE5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07A6-3DDE-4B34-A99D-A3DA5B9F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12</cp:revision>
  <cp:lastPrinted>2019-08-30T01:55:00Z</cp:lastPrinted>
  <dcterms:created xsi:type="dcterms:W3CDTF">2018-08-23T01:35:00Z</dcterms:created>
  <dcterms:modified xsi:type="dcterms:W3CDTF">2019-08-30T01:56:00Z</dcterms:modified>
</cp:coreProperties>
</file>